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hanging="0" w:left="4820" w:right="0"/>
        <w:contextualSpacing w:val="false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sz w:val="24"/>
          <w:szCs w:val="24"/>
        </w:rPr>
        <w:t>УТВЕРЖДЕНО</w:t>
      </w:r>
    </w:p>
    <w:p>
      <w:pPr>
        <w:pStyle w:val="style0"/>
        <w:spacing w:after="0" w:before="0"/>
        <w:ind w:hanging="0" w:left="4820" w:right="0"/>
        <w:contextualSpacing w:val="false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Решением Общего собрания членов</w:t>
      </w:r>
    </w:p>
    <w:p>
      <w:pPr>
        <w:pStyle w:val="style0"/>
        <w:spacing w:after="0" w:before="0"/>
        <w:ind w:hanging="0" w:left="4820" w:right="0"/>
        <w:contextualSpacing w:val="false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НП «Столица-Энерго» СРО</w:t>
      </w:r>
    </w:p>
    <w:p>
      <w:pPr>
        <w:pStyle w:val="style0"/>
        <w:spacing w:after="0" w:before="0"/>
        <w:ind w:hanging="0" w:left="4820" w:right="0"/>
        <w:contextualSpacing w:val="false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Протокол № 6 от «26» июня 2014 года </w:t>
      </w:r>
    </w:p>
    <w:p>
      <w:pPr>
        <w:pStyle w:val="style0"/>
        <w:spacing w:after="0" w:before="0"/>
        <w:ind w:hanging="0" w:left="5103" w:right="0"/>
        <w:contextualSpacing w:val="false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8"/>
        <w:ind w:firstLine="708" w:left="4248" w:right="0"/>
        <w:rPr>
          <w:b/>
        </w:rPr>
      </w:pPr>
      <w:r>
        <w:rPr>
          <w:b/>
        </w:rPr>
      </w:r>
    </w:p>
    <w:p>
      <w:pPr>
        <w:pStyle w:val="style0"/>
        <w:jc w:val="right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 xml:space="preserve">Инвестиционная декларация </w:t>
      </w:r>
    </w:p>
    <w:p>
      <w:pPr>
        <w:pStyle w:val="style0"/>
        <w:jc w:val="center"/>
        <w:rPr>
          <w:rFonts w:ascii="Times New Roman" w:hAnsi="Times New Roman"/>
          <w:cap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caps/>
          <w:sz w:val="32"/>
          <w:szCs w:val="32"/>
        </w:rPr>
        <w:t>Компенсационного ФОНДА</w:t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Некоммерческого партнерства содействия энергосбережению и повышению энергетической эффективности «Столица-Энерго» (саморегулируемая организация) </w:t>
        <w:br/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г.Москва, 2014 год</w:t>
      </w:r>
    </w:p>
    <w:p>
      <w:pPr>
        <w:pStyle w:val="style29"/>
        <w:pageBreakBefore/>
        <w:numPr>
          <w:ilvl w:val="0"/>
          <w:numId w:val="1"/>
        </w:num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Общие положения</w:t>
      </w:r>
    </w:p>
    <w:p>
      <w:pPr>
        <w:pStyle w:val="style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Инвестиционная декларация Некоммерческого партнерства содействия энергосбережению и повышению энергетической эффективности «Столица-Энерго» (саморегулируемая организация) (далее – Инвестиционная декларация) принята в соответствии с нормами действующего законодательства Российской Федерации, Уставом Некоммерческого партнерства содействия энергосбережению и повышению энергетической эффективности «Столица-Энерго» (саморегулируемая организация) (далее – Партнерство), Положением о компенсационном фонде Партнерства.</w:t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Инвестиционная декларация устанавливает цель инвестирования и размещения средств компенсационного фонда Партнерства, структуру размещения средств компенсационного фонда, ограничения и правила размещения таких средств и требования к инвестированию.</w:t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средств компенсационного фонда Партнерства производится с целью сохранения и увеличения его размера для обеспечения имущественной ответственности членов Партнерства по обязательствам, возникшим вследствие причинения ими вреда из-за недостатков выполненных ими работ по проведению энергетических обследований.</w:t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средств компенсационного фонда и инвестирование таких средств осуществляются через управляющие компании.</w:t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имеет право приобретать при осуществлении деятельности по управлению компенсационным фондом активы, включенные в перечень, определяемый настоящей Инвестиционной декларацией, с учетом требований к структуре размещения средств компенсационного фонда, которую управляющая компания обязана поддерживать в течение всего срока действия договора доверительного управления средствами компенсационного фонда.</w:t>
      </w:r>
    </w:p>
    <w:p>
      <w:pPr>
        <w:pStyle w:val="style29"/>
        <w:numPr>
          <w:ilvl w:val="1"/>
          <w:numId w:val="1"/>
        </w:numPr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Доход, полученный 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фонда, по решению уполномоченного органа СРО.</w:t>
      </w:r>
    </w:p>
    <w:p>
      <w:pPr>
        <w:pStyle w:val="style29"/>
        <w:ind w:hanging="0" w:left="56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СОСТАВ И Структура размещения средств компенсационного фонда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Компенсационный фонд Партнерства первоначально формируется исключительно в денежной форме за счет взносов членов Партнерства, а также за счет дохода, полученного от размещения средств компенсационного фонда в депозитах российской кредитной организации (за вычетом расходов, связанных с обеспечением надлежащих условий размещения средств компенсационного фонда).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компенсационного фонда могут быть размещены в следующие активы: 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государственные ценные бумаги Российской Федерации;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денежные средства, в том числе иностранная валюта, на счетах и во вкладах в кредитных организациях;</w:t>
      </w:r>
    </w:p>
    <w:p>
      <w:pPr>
        <w:pStyle w:val="style29"/>
        <w:numPr>
          <w:ilvl w:val="1"/>
          <w:numId w:val="1"/>
        </w:numPr>
        <w:spacing w:after="24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размещения средств компенсационного фонда должна соответствовать следующим требованиям: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670"/>
        <w:gridCol w:w="2836"/>
      </w:tblGrid>
      <w:tr>
        <w:trPr>
          <w:cantSplit w:val="false"/>
        </w:trPr>
        <w:tc>
          <w:tcPr>
            <w:tcW w:type="dxa" w:w="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актива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Минимальная доля - максимальная доля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  <w:ind w:hanging="360" w:left="0" w:right="0"/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</w:r>
          </w:p>
        </w:tc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государственные ценные бумаги Российской Федерации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100 %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  <w:ind w:hanging="360" w:left="0" w:right="0"/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</w:r>
          </w:p>
        </w:tc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денежные средства, в том числе иностранная валюта, на счетах и во вкладах в кредитных организациях</w:t>
            </w:r>
          </w:p>
        </w:tc>
        <w:tc>
          <w:tcPr>
            <w:tcW w:type="dxa" w:w="28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0 - 90 %</w:t>
            </w:r>
          </w:p>
        </w:tc>
      </w:tr>
    </w:tbl>
    <w:p>
      <w:pPr>
        <w:pStyle w:val="style29"/>
        <w:numPr>
          <w:ilvl w:val="1"/>
          <w:numId w:val="1"/>
        </w:numPr>
        <w:spacing w:after="0" w:before="24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размещение средств компенсационного фонда в иные активы, прямо не предусмотренные настоящей Инвестиционной декларацией.</w:t>
      </w:r>
    </w:p>
    <w:p>
      <w:pPr>
        <w:pStyle w:val="style29"/>
        <w:numPr>
          <w:ilvl w:val="1"/>
          <w:numId w:val="1"/>
        </w:numPr>
        <w:spacing w:after="0" w:before="24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нарушения требований к максимальной (минимальной) доле определенного класса активов из-за изменения рыночной или оценочной стоимости активов управляющая компания обязана скорректировать структуру активов в соответствии с требованиями к структуре инвестиционного портфеля в течение двух месяцев с даты обнаружения указанного нарушения.</w:t>
      </w:r>
    </w:p>
    <w:p>
      <w:pPr>
        <w:pStyle w:val="style29"/>
        <w:numPr>
          <w:ilvl w:val="1"/>
          <w:numId w:val="1"/>
        </w:numPr>
        <w:spacing w:after="0" w:before="24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управляющей компанией требований, установленных инвестиционной декларацией к составу и структуре имущества, составляющего компенсационный фонд Партнерства, является основанием для расторжения договора с управляющей компанией.</w:t>
      </w:r>
    </w:p>
    <w:p>
      <w:pPr>
        <w:pStyle w:val="style29"/>
        <w:spacing w:after="0" w:before="240"/>
        <w:ind w:hanging="0" w:left="567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9"/>
        <w:numPr>
          <w:ilvl w:val="0"/>
          <w:numId w:val="1"/>
        </w:num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Порядок и условия размещения средств компенсационного фонда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средств компенсационного фонда в активы, указанные в пункте 2.2. настоящей Инвестиционной декларации, осуществляется в соответствии с требованиями действующего законодательства РФ.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обязана соблюдать установленные нормативными правовыми актами Федеральной службы по финансовым рынкам требования, направленные на снижение рисков, связанных с размещением средств компенсационного фонда.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вправе размещать активы во вкладах (депозитах) в кредитных организациях на срок по своему усмотрению, с обязательным закреплением в договоре условия о возможности возврата средств с этого счета (выплате средств по депозитному сертификату) в течение 10 рабочих дней по требованию Партнерства.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размещении средств компенсационного фонда не допускается: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приобретение ценных бумаг, эмитентами которых являются управляющие компании, брокеры, страховые и кредитные организации, специализированный депозитарий, аудиторы, с которыми Партнерством заключены договоры об обслуживании; 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приобретение ценных бумаг эмитентов, в отношении которых осуществляются меры досудебной санации или возбуждена процедура банкротства, в соответствии с законодательством Российской Федерации о банкротстве, либо в отношении которых такие процедуры применялись в течение двух предшествующих лет;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приобретение ценных бумаг членов Партнерства и размещение средств на их расчетных счетах;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займов за счет средств компенсационного фонда;</w:t>
      </w:r>
    </w:p>
    <w:p>
      <w:pPr>
        <w:pStyle w:val="style29"/>
        <w:numPr>
          <w:ilvl w:val="2"/>
          <w:numId w:val="1"/>
        </w:numPr>
        <w:ind w:hanging="927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компенсационного фонда для обеспечения исполнения собственных обязательств Партнерства, не связанных с осуществлением деятельности Партнерства, а также обязательств иных лиц.</w:t>
      </w:r>
    </w:p>
    <w:p>
      <w:pPr>
        <w:pStyle w:val="style29"/>
        <w:ind w:hanging="0" w:left="1494" w:right="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Контроль за размещением средств компенсационного фонда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Управляющая компания представляет Партнерству отчет о размещении средств компенсационного фонда на условиях и с периодичностью, предусмотренных договором с управляющей компанией.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соблюдением Управляющей компанией порядка размещения средств компенсационного фонда, требований по формированию состава и структуры компенсационного фонда, которые установлены законодательными и другими нормативными правовыми актами, а также договором доверительного управления компенсационным фондом (далее - контроль за размещением средств компенсационного фонда), осуществляется специализированным депозитарием на основании договора об оказании услуг специализированного депозитария.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Партнерство вправе заключать договоры только с управляющими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 Партнерства.</w:t>
      </w:r>
    </w:p>
    <w:p>
      <w:pPr>
        <w:pStyle w:val="style29"/>
        <w:numPr>
          <w:ilvl w:val="1"/>
          <w:numId w:val="1"/>
        </w:numPr>
        <w:spacing w:after="0" w:before="0"/>
        <w:ind w:hanging="36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Партнерства ежегодно предоставляет Общему собранию членов Партнерства отчет о размещении средств компенсационного фонда.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type="dxa" w:w="9355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</w:t>
            </w:r>
          </w:p>
        </w:tc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Б.Л.Фролов</w:t>
            </w:r>
          </w:p>
        </w:tc>
      </w:tr>
    </w:tbl>
    <w:p>
      <w:pPr>
        <w:pStyle w:val="style29"/>
        <w:ind w:hanging="0" w:left="56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6838" w:w="11906"/>
      <w:pgMar w:bottom="1134" w:footer="0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decimal"/>
      <w:lvlText w:val="%1.%2."/>
      <w:lvlJc w:val="left"/>
      <w:pPr>
        <w:ind w:hanging="360" w:left="927"/>
      </w:pPr>
      <w:rPr>
        <w:b w:val="false"/>
      </w:rPr>
    </w:lvl>
    <w:lvl w:ilvl="2">
      <w:start w:val="1"/>
      <w:numFmt w:val="decimal"/>
      <w:lvlText w:val="%1.%2.%3."/>
      <w:lvlJc w:val="left"/>
      <w:pPr>
        <w:ind w:hanging="720" w:left="1494"/>
      </w:pPr>
      <w:rPr>
        <w:b w:val="false"/>
      </w:rPr>
    </w:lvl>
    <w:lvl w:ilvl="3">
      <w:start w:val="1"/>
      <w:numFmt w:val="decimal"/>
      <w:lvlText w:val="%1.%2.%3.%4."/>
      <w:lvlJc w:val="left"/>
      <w:pPr>
        <w:ind w:hanging="720" w:left="1701"/>
      </w:pPr>
    </w:lvl>
    <w:lvl w:ilvl="4">
      <w:start w:val="1"/>
      <w:numFmt w:val="decimal"/>
      <w:lvlText w:val="%1.%2.%3.%4.%5."/>
      <w:lvlJc w:val="left"/>
      <w:pPr>
        <w:ind w:hanging="1080" w:left="2268"/>
      </w:pPr>
    </w:lvl>
    <w:lvl w:ilvl="5">
      <w:start w:val="1"/>
      <w:numFmt w:val="decimal"/>
      <w:lvlText w:val="%1.%2.%3.%4.%5.%6."/>
      <w:lvlJc w:val="left"/>
      <w:pPr>
        <w:ind w:hanging="1080" w:left="2475"/>
      </w:pPr>
    </w:lvl>
    <w:lvl w:ilvl="6">
      <w:start w:val="1"/>
      <w:numFmt w:val="decimal"/>
      <w:lvlText w:val="%1.%2.%3.%4.%5.%6.%7."/>
      <w:lvlJc w:val="left"/>
      <w:pPr>
        <w:ind w:hanging="1440" w:left="3042"/>
      </w:pPr>
    </w:lvl>
    <w:lvl w:ilvl="7">
      <w:start w:val="1"/>
      <w:numFmt w:val="decimal"/>
      <w:lvlText w:val="%1.%2.%3.%4.%5.%6.%7.%8."/>
      <w:lvlJc w:val="left"/>
      <w:pPr>
        <w:ind w:hanging="1440" w:left="3249"/>
      </w:pPr>
    </w:lvl>
    <w:lvl w:ilvl="8">
      <w:start w:val="1"/>
      <w:numFmt w:val="decimal"/>
      <w:lvlText w:val="%1.%2.%3.%4.%5.%6.%7.%8.%9."/>
      <w:lvlJc w:val="left"/>
      <w:pPr>
        <w:ind w:hanging="1800" w:left="381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next w:val="style16"/>
    <w:rPr>
      <w:b/>
      <w:bCs/>
    </w:rPr>
  </w:style>
  <w:style w:styleId="style17" w:type="character">
    <w:name w:val="Верх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Нижний колонтитул Знак"/>
    <w:basedOn w:val="style15"/>
    <w:next w:val="style18"/>
    <w:rPr>
      <w:rFonts w:ascii="Calibri" w:cs="Times New Roman" w:eastAsia="Times New Roman" w:hAnsi="Calibri"/>
      <w:lang w:eastAsia="ru-RU"/>
    </w:rPr>
  </w:style>
  <w:style w:styleId="style19" w:type="character">
    <w:name w:val="Текст выноски Знак"/>
    <w:basedOn w:val="style15"/>
    <w:next w:val="style19"/>
    <w:rPr>
      <w:rFonts w:ascii="Tahoma" w:cs="Tahoma" w:eastAsia="Times New Roman" w:hAnsi="Tahoma"/>
      <w:sz w:val="16"/>
      <w:szCs w:val="16"/>
      <w:lang w:eastAsia="ru-RU"/>
    </w:rPr>
  </w:style>
  <w:style w:styleId="style20" w:type="character">
    <w:name w:val="apple-converted-space"/>
    <w:basedOn w:val="style15"/>
    <w:next w:val="style20"/>
    <w:rPr/>
  </w:style>
  <w:style w:styleId="style21" w:type="character">
    <w:name w:val="ListLabel 1"/>
    <w:next w:val="style21"/>
    <w:rPr>
      <w:b/>
    </w:rPr>
  </w:style>
  <w:style w:styleId="style22" w:type="character">
    <w:name w:val="ListLabel 2"/>
    <w:next w:val="style22"/>
    <w:rPr>
      <w:b w:val="false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Normal (Web)"/>
    <w:basedOn w:val="style0"/>
    <w:next w:val="style28"/>
    <w:pPr>
      <w:spacing w:after="28" w:before="28" w:line="100" w:lineRule="atLeast"/>
      <w:contextualSpacing w:val="false"/>
    </w:pPr>
    <w:rPr>
      <w:rFonts w:ascii="Times New Roman" w:hAnsi="Times New Roman"/>
      <w:sz w:val="24"/>
      <w:szCs w:val="24"/>
    </w:rPr>
  </w:style>
  <w:style w:styleId="style29" w:type="paragraph">
    <w:name w:val="List Paragraph"/>
    <w:basedOn w:val="style0"/>
    <w:next w:val="style29"/>
    <w:pPr>
      <w:spacing w:after="200" w:before="0"/>
      <w:ind w:hanging="0" w:left="720" w:right="0"/>
      <w:contextualSpacing/>
    </w:pPr>
    <w:rPr/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2013-10-08T15:29:00Z</dcterms:created>
  <dc:creator>i.mamedova</dc:creator>
  <cp:lastModifiedBy>Сергей Пронкин</cp:lastModifiedBy>
  <cp:lastPrinted>2013-10-29T07:52:00Z</cp:lastPrinted>
  <dcterms:modified xsi:type="dcterms:W3CDTF">2014-06-23T08:04:00Z</dcterms:modified>
  <cp:revision>12</cp:revision>
</cp:coreProperties>
</file>